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5: Electromagnetic Transients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Pre-lab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98"/>
        <w:gridCol w:w="1364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6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3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TextBody"/>
        <w:bidi w:val="0"/>
        <w:jc w:val="start"/>
        <w:rPr/>
      </w:pPr>
      <w:r>
        <w:rPr/>
        <w:t>1.  What are electromagnetic transients, and how are they different from electro-mechanical transients?</w:t>
      </w:r>
    </w:p>
    <w:p>
      <w:pPr>
        <w:pStyle w:val="TextBody"/>
        <w:bidi w:val="0"/>
        <w:jc w:val="start"/>
        <w:rPr>
          <w:color w:val="auto"/>
        </w:rPr>
      </w:pPr>
      <w:r>
        <w:rPr>
          <w:color w:val="auto"/>
        </w:rPr>
      </w:r>
    </w:p>
    <w:p>
      <w:pPr>
        <w:pStyle w:val="TextBody"/>
        <w:bidi w:val="0"/>
        <w:jc w:val="start"/>
        <w:rPr/>
      </w:pPr>
      <w:r>
        <w:rPr/>
        <w:t>2.  Why is the study of electromagnetic transients important in power systems design?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3.  What is transient recovery voltage (TRV)?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4.  Why are there electromagnetic transients when a capacitor is connected to a system?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5.  How many resonant frequencies are there when a second capacitor branch is added in parallel to a operating system that already has an existing capacitor (ie. A back-to-back capacitor energization)?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TextBody"/>
        <w:bidi w:val="0"/>
        <w:jc w:val="start"/>
        <w:rPr/>
      </w:pPr>
      <w:r>
        <w:rPr/>
        <w:t>6.  How does the simulation time step affect simulation results?</w:t>
      </w:r>
    </w:p>
    <w:p>
      <w:pPr>
        <w:pStyle w:val="TextBody"/>
        <w:bidi w:val="0"/>
        <w:spacing w:before="0" w:after="140"/>
        <w:jc w:val="star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Mar 24,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01:12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5: Electromagnetic Transients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1915</TotalTime>
  <Application>LibreOffice/7.3.7.2$Linux_X86_64 LibreOffice_project/30$Build-2</Application>
  <AppVersion>15.0000</AppVersion>
  <Pages>1</Pages>
  <Words>128</Words>
  <Characters>716</Characters>
  <CharactersWithSpaces>838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2023-03-24T13:13:11Z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