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start"/>
        <w:rPr/>
      </w:pPr>
      <w:r>
        <w:rPr/>
        <w:t>Lab 5: Electromagnetic Transients</w:t>
      </w:r>
    </w:p>
    <w:p>
      <w:pPr>
        <w:pStyle w:val="Subtitle"/>
        <w:bidi w:val="0"/>
        <w:jc w:val="start"/>
        <w:rPr>
          <w:color w:val="808080"/>
        </w:rPr>
      </w:pPr>
      <w:r>
        <w:rPr>
          <w:color w:val="808080"/>
        </w:rPr>
        <w:t>ECE 433 – Power Systems Stability and Transients</w:t>
      </w:r>
    </w:p>
    <w:p>
      <w:pPr>
        <w:pStyle w:val="HorizontalLine"/>
        <w:suppressLineNumbers/>
        <w:pBdr>
          <w:bottom w:val="single" w:sz="2" w:space="0" w:color="808080"/>
        </w:pBdr>
        <w:bidi w:val="0"/>
        <w:spacing w:before="0" w:after="283"/>
        <w:jc w:val="start"/>
        <w:rPr/>
      </w:pPr>
      <w:r>
        <w:rPr/>
      </w:r>
    </w:p>
    <w:p>
      <w:pPr>
        <w:pStyle w:val="Heading1"/>
        <w:numPr>
          <w:ilvl w:val="0"/>
          <w:numId w:val="0"/>
        </w:numPr>
        <w:bidi w:val="0"/>
        <w:spacing w:before="240" w:after="120"/>
        <w:ind w:start="0" w:hanging="0"/>
        <w:jc w:val="start"/>
        <w:rPr/>
      </w:pPr>
      <w:r>
        <w:rPr/>
        <w:t>Postlab</w:t>
      </w:r>
    </w:p>
    <w:tbl>
      <w:tblPr>
        <w:tblW w:w="9975" w:type="dxa"/>
        <w:jc w:val="start"/>
        <w:tblInd w:w="55" w:type="dxa"/>
        <w:tblLayout w:type="fixed"/>
        <w:tblCellMar>
          <w:top w:w="55" w:type="dxa"/>
          <w:start w:w="55" w:type="dxa"/>
          <w:bottom w:w="55" w:type="dxa"/>
          <w:end w:w="55" w:type="dxa"/>
        </w:tblCellMar>
      </w:tblPr>
      <w:tblGrid>
        <w:gridCol w:w="4700"/>
        <w:gridCol w:w="2212"/>
        <w:gridCol w:w="1653"/>
        <w:gridCol w:w="1409"/>
      </w:tblGrid>
      <w:tr>
        <w:trPr/>
        <w:tc>
          <w:tcPr>
            <w:tcW w:w="4700" w:type="dxa"/>
            <w:tcBorders>
              <w:top w:val="single" w:sz="4" w:space="0" w:color="000000"/>
              <w:start w:val="single" w:sz="4" w:space="0" w:color="000000"/>
              <w:bottom w:val="single" w:sz="4" w:space="0" w:color="000000"/>
            </w:tcBorders>
          </w:tcPr>
          <w:p>
            <w:pPr>
              <w:pStyle w:val="TableContents"/>
              <w:widowControl w:val="false"/>
              <w:suppressLineNumbers/>
              <w:bidi w:val="0"/>
              <w:jc w:val="start"/>
              <w:rPr>
                <w:sz w:val="24"/>
                <w:szCs w:val="24"/>
              </w:rPr>
            </w:pPr>
            <w:r>
              <w:rPr>
                <w:b/>
                <w:bCs/>
                <w:sz w:val="24"/>
                <w:szCs w:val="24"/>
              </w:rPr>
              <w:t>Name</w:t>
            </w:r>
          </w:p>
        </w:tc>
        <w:tc>
          <w:tcPr>
            <w:tcW w:w="2212" w:type="dxa"/>
            <w:tcBorders>
              <w:top w:val="single" w:sz="4" w:space="0" w:color="000000"/>
              <w:start w:val="single" w:sz="4" w:space="0" w:color="000000"/>
              <w:bottom w:val="single" w:sz="4" w:space="0" w:color="000000"/>
            </w:tcBorders>
          </w:tcPr>
          <w:p>
            <w:pPr>
              <w:pStyle w:val="TableContents"/>
              <w:widowControl w:val="false"/>
              <w:bidi w:val="0"/>
              <w:jc w:val="start"/>
              <w:rPr>
                <w:sz w:val="24"/>
                <w:szCs w:val="24"/>
              </w:rPr>
            </w:pPr>
            <w:r>
              <w:rPr>
                <w:b/>
                <w:bCs/>
                <w:sz w:val="24"/>
                <w:szCs w:val="24"/>
              </w:rPr>
              <w:t>Student ID</w:t>
            </w:r>
          </w:p>
        </w:tc>
        <w:tc>
          <w:tcPr>
            <w:tcW w:w="1653" w:type="dxa"/>
            <w:tcBorders>
              <w:top w:val="single" w:sz="4" w:space="0" w:color="000000"/>
              <w:start w:val="single" w:sz="4" w:space="0" w:color="000000"/>
              <w:bottom w:val="single" w:sz="4" w:space="0" w:color="000000"/>
            </w:tcBorders>
          </w:tcPr>
          <w:p>
            <w:pPr>
              <w:pStyle w:val="TableContents"/>
              <w:widowControl w:val="false"/>
              <w:bidi w:val="0"/>
              <w:jc w:val="start"/>
              <w:rPr>
                <w:sz w:val="24"/>
                <w:szCs w:val="24"/>
              </w:rPr>
            </w:pPr>
            <w:r>
              <w:rPr>
                <w:b/>
                <w:bCs/>
                <w:sz w:val="24"/>
                <w:szCs w:val="24"/>
              </w:rPr>
              <w:t>CCID</w:t>
            </w:r>
          </w:p>
        </w:tc>
        <w:tc>
          <w:tcPr>
            <w:tcW w:w="1409" w:type="dxa"/>
            <w:tcBorders>
              <w:top w:val="single" w:sz="4" w:space="0" w:color="000000"/>
              <w:start w:val="single" w:sz="4" w:space="0" w:color="000000"/>
              <w:bottom w:val="single" w:sz="4" w:space="0" w:color="000000"/>
              <w:end w:val="single" w:sz="4" w:space="0" w:color="000000"/>
            </w:tcBorders>
          </w:tcPr>
          <w:p>
            <w:pPr>
              <w:pStyle w:val="TableContents"/>
              <w:widowControl w:val="false"/>
              <w:bidi w:val="0"/>
              <w:jc w:val="start"/>
              <w:rPr>
                <w:sz w:val="24"/>
                <w:szCs w:val="24"/>
              </w:rPr>
            </w:pPr>
            <w:r>
              <w:rPr>
                <w:b/>
                <w:bCs/>
                <w:sz w:val="24"/>
                <w:szCs w:val="24"/>
              </w:rPr>
              <w:t>Lab Section</w:t>
            </w:r>
          </w:p>
        </w:tc>
      </w:tr>
      <w:tr>
        <w:trPr/>
        <w:tc>
          <w:tcPr>
            <w:tcW w:w="4700" w:type="dxa"/>
            <w:tcBorders>
              <w:start w:val="single" w:sz="4" w:space="0" w:color="000000"/>
              <w:bottom w:val="single" w:sz="4" w:space="0" w:color="000000"/>
            </w:tcBorders>
          </w:tcPr>
          <w:p>
            <w:pPr>
              <w:pStyle w:val="TableContents"/>
              <w:widowControl w:val="false"/>
              <w:suppressLineNumbers/>
              <w:bidi w:val="0"/>
              <w:jc w:val="start"/>
              <w:rPr>
                <w:color w:val="C9211E"/>
              </w:rPr>
            </w:pPr>
            <w:r>
              <w:rPr>
                <w:color w:val="C9211E"/>
              </w:rPr>
            </w:r>
          </w:p>
        </w:tc>
        <w:tc>
          <w:tcPr>
            <w:tcW w:w="2212" w:type="dxa"/>
            <w:tcBorders>
              <w:start w:val="single" w:sz="4" w:space="0" w:color="000000"/>
              <w:bottom w:val="single" w:sz="4" w:space="0" w:color="000000"/>
            </w:tcBorders>
          </w:tcPr>
          <w:p>
            <w:pPr>
              <w:pStyle w:val="TableContents"/>
              <w:widowControl w:val="false"/>
              <w:suppressLineNumbers/>
              <w:bidi w:val="0"/>
              <w:jc w:val="start"/>
              <w:rPr>
                <w:color w:val="C9211E"/>
              </w:rPr>
            </w:pPr>
            <w:r>
              <w:rPr>
                <w:color w:val="C9211E"/>
              </w:rPr>
            </w:r>
          </w:p>
        </w:tc>
        <w:tc>
          <w:tcPr>
            <w:tcW w:w="1653" w:type="dxa"/>
            <w:tcBorders>
              <w:start w:val="single" w:sz="4" w:space="0" w:color="000000"/>
              <w:bottom w:val="single" w:sz="4" w:space="0" w:color="000000"/>
            </w:tcBorders>
          </w:tcPr>
          <w:p>
            <w:pPr>
              <w:pStyle w:val="TableContents"/>
              <w:widowControl w:val="false"/>
              <w:suppressLineNumbers/>
              <w:bidi w:val="0"/>
              <w:jc w:val="start"/>
              <w:rPr>
                <w:color w:val="C9211E"/>
              </w:rPr>
            </w:pPr>
            <w:r>
              <w:rPr>
                <w:color w:val="C9211E"/>
              </w:rPr>
            </w:r>
          </w:p>
        </w:tc>
        <w:tc>
          <w:tcPr>
            <w:tcW w:w="1409" w:type="dxa"/>
            <w:tcBorders>
              <w:start w:val="single" w:sz="4" w:space="0" w:color="000000"/>
              <w:bottom w:val="single" w:sz="4" w:space="0" w:color="000000"/>
              <w:end w:val="single" w:sz="4" w:space="0" w:color="000000"/>
            </w:tcBorders>
          </w:tcPr>
          <w:p>
            <w:pPr>
              <w:pStyle w:val="TableContents"/>
              <w:widowControl w:val="false"/>
              <w:suppressLineNumbers/>
              <w:bidi w:val="0"/>
              <w:jc w:val="start"/>
              <w:rPr>
                <w:color w:val="C9211E"/>
              </w:rPr>
            </w:pPr>
            <w:r>
              <w:rPr>
                <w:color w:val="C9211E"/>
              </w:rPr>
            </w:r>
          </w:p>
        </w:tc>
      </w:tr>
    </w:tbl>
    <w:p>
      <w:pPr>
        <w:pStyle w:val="Heading2"/>
        <w:numPr>
          <w:ilvl w:val="1"/>
          <w:numId w:val="1"/>
        </w:numPr>
        <w:bidi w:val="0"/>
        <w:jc w:val="start"/>
        <w:rPr/>
      </w:pPr>
      <w:r>
        <w:rPr/>
        <w:t>Graphs</w:t>
      </w:r>
    </w:p>
    <w:p>
      <w:pPr>
        <w:pStyle w:val="TextBody"/>
        <w:bidi w:val="0"/>
        <w:jc w:val="start"/>
        <w:rPr/>
      </w:pPr>
      <w:r>
        <w:rPr/>
        <w:t>G1. Run a Sample Case – Fault at 0.01667 s</w:t>
      </w:r>
    </w:p>
    <w:p>
      <w:pPr>
        <w:pStyle w:val="TextBody"/>
        <w:bidi w:val="0"/>
        <w:jc w:val="center"/>
        <w:rPr>
          <w:color w:val="B2B2B2"/>
        </w:rPr>
      </w:pPr>
      <w:r>
        <w:rPr>
          <w:color w:val="B2B2B2"/>
        </w:rPr>
        <w:t>&lt;insert plot here&gt;</w:t>
      </w:r>
    </w:p>
    <w:p>
      <w:pPr>
        <w:pStyle w:val="TextBody"/>
        <w:bidi w:val="0"/>
        <w:jc w:val="start"/>
        <w:rPr/>
      </w:pPr>
      <w:r>
        <w:rPr/>
        <w:t>G1. Run a Sample Case – Fault at 0.02084 s</w:t>
      </w:r>
    </w:p>
    <w:p>
      <w:pPr>
        <w:pStyle w:val="TextBody"/>
        <w:bidi w:val="0"/>
        <w:jc w:val="center"/>
        <w:rPr>
          <w:color w:val="B2B2B2"/>
        </w:rPr>
      </w:pPr>
      <w:r>
        <w:rPr>
          <w:color w:val="B2B2B2"/>
        </w:rPr>
        <w:t>&lt;insert plot here&gt;</w:t>
      </w:r>
    </w:p>
    <w:p>
      <w:pPr>
        <w:pStyle w:val="TextBody"/>
        <w:bidi w:val="0"/>
        <w:jc w:val="start"/>
        <w:rPr/>
      </w:pPr>
      <w:r>
        <w:rPr/>
        <w:t>G2. Capacitor Energization – Initial conditions</w:t>
      </w:r>
    </w:p>
    <w:p>
      <w:pPr>
        <w:pStyle w:val="TextBody"/>
        <w:bidi w:val="0"/>
        <w:jc w:val="center"/>
        <w:rPr>
          <w:color w:val="B2B2B2"/>
        </w:rPr>
      </w:pPr>
      <w:r>
        <w:rPr>
          <w:color w:val="B2B2B2"/>
        </w:rPr>
        <w:t>&lt;insert plot here&gt;</w:t>
      </w:r>
    </w:p>
    <w:p>
      <w:pPr>
        <w:pStyle w:val="TextBody"/>
        <w:bidi w:val="0"/>
        <w:jc w:val="start"/>
        <w:rPr/>
      </w:pPr>
      <w:r>
        <w:rPr/>
        <w:t xml:space="preserve">G3. Capacitor Energization – Vs – 0 </w:t>
      </w:r>
      <w:r>
        <w:rPr>
          <w:rFonts w:eastAsia="Noto Serif CJK SC" w:cs="Noto Sans Devanagari" w:ascii="Liberation Serif" w:hAnsi="Liberation Serif"/>
        </w:rPr>
        <w:t>Ω</w:t>
      </w:r>
    </w:p>
    <w:p>
      <w:pPr>
        <w:pStyle w:val="TextBody"/>
        <w:bidi w:val="0"/>
        <w:jc w:val="center"/>
        <w:rPr>
          <w:color w:val="B2B2B2"/>
        </w:rPr>
      </w:pPr>
      <w:r>
        <w:rPr>
          <w:rFonts w:eastAsia="Noto Serif CJK SC" w:cs="Noto Sans Devanagari" w:ascii="Liberation Serif" w:hAnsi="Liberation Serif"/>
          <w:color w:val="B2B2B2"/>
        </w:rPr>
        <w:t>&lt;insert plot here&gt;</w:t>
      </w:r>
    </w:p>
    <w:p>
      <w:pPr>
        <w:pStyle w:val="TextBody"/>
        <w:bidi w:val="0"/>
        <w:jc w:val="start"/>
        <w:rPr/>
      </w:pPr>
      <w:r>
        <w:rPr/>
        <w:t>G4. Capacitor Energization – Breaker time = 0.02084s</w:t>
      </w:r>
    </w:p>
    <w:p>
      <w:pPr>
        <w:pStyle w:val="TextBody"/>
        <w:bidi w:val="0"/>
        <w:jc w:val="center"/>
        <w:rPr>
          <w:color w:val="B2B2B2"/>
        </w:rPr>
      </w:pPr>
      <w:r>
        <w:rPr>
          <w:color w:val="B2B2B2"/>
        </w:rPr>
        <w:t>&lt;insert plot here&gt;</w:t>
      </w:r>
    </w:p>
    <w:p>
      <w:pPr>
        <w:pStyle w:val="TextBody"/>
        <w:bidi w:val="0"/>
        <w:jc w:val="start"/>
        <w:rPr/>
      </w:pPr>
      <w:r>
        <w:rPr/>
        <w:t>G5. Capacitor Energization – Capacitor pre-charge = 28.17 kV</w:t>
      </w:r>
    </w:p>
    <w:p>
      <w:pPr>
        <w:pStyle w:val="TextBody"/>
        <w:bidi w:val="0"/>
        <w:jc w:val="center"/>
        <w:rPr>
          <w:color w:val="B2B2B2"/>
        </w:rPr>
      </w:pPr>
      <w:r>
        <w:rPr>
          <w:color w:val="B2B2B2"/>
        </w:rPr>
        <w:t>&lt;insert plot here&gt;</w:t>
      </w:r>
    </w:p>
    <w:p>
      <w:pPr>
        <w:pStyle w:val="TextBody"/>
        <w:bidi w:val="0"/>
        <w:jc w:val="start"/>
        <w:rPr/>
      </w:pPr>
      <w:r>
        <w:rPr/>
        <w:t xml:space="preserve">G6. Back-to-back Capacitor Energization – Vs, Vcap1, Vcap2 </w:t>
      </w:r>
    </w:p>
    <w:p>
      <w:pPr>
        <w:pStyle w:val="TextBody"/>
        <w:bidi w:val="0"/>
        <w:jc w:val="center"/>
        <w:rPr>
          <w:color w:val="B2B2B2"/>
        </w:rPr>
      </w:pPr>
      <w:r>
        <w:rPr>
          <w:color w:val="B2B2B2"/>
        </w:rPr>
        <w:t>&lt;insert plot here&gt;</w:t>
      </w:r>
    </w:p>
    <w:p>
      <w:pPr>
        <w:pStyle w:val="TextBody"/>
        <w:bidi w:val="0"/>
        <w:jc w:val="start"/>
        <w:rPr/>
      </w:pPr>
      <w:r>
        <w:rPr/>
        <w:t>G7. Back-to-back Capacitor Energization – Is, Icap1, Icap2</w:t>
      </w:r>
    </w:p>
    <w:p>
      <w:pPr>
        <w:pStyle w:val="TextBody"/>
        <w:bidi w:val="0"/>
        <w:jc w:val="center"/>
        <w:rPr>
          <w:color w:val="B2B2B2"/>
        </w:rPr>
      </w:pPr>
      <w:r>
        <w:rPr>
          <w:color w:val="B2B2B2"/>
        </w:rPr>
        <w:t>&lt;insert plot here&gt;</w:t>
      </w:r>
    </w:p>
    <w:p>
      <w:pPr>
        <w:pStyle w:val="Heading2"/>
        <w:numPr>
          <w:ilvl w:val="1"/>
          <w:numId w:val="1"/>
        </w:numPr>
        <w:bidi w:val="0"/>
        <w:jc w:val="start"/>
        <w:rPr/>
      </w:pPr>
      <w:r>
        <w:rPr/>
      </w:r>
    </w:p>
    <w:p>
      <w:pPr>
        <w:pStyle w:val="Heading2"/>
        <w:numPr>
          <w:ilvl w:val="0"/>
          <w:numId w:val="0"/>
        </w:numPr>
        <w:bidi w:val="0"/>
        <w:ind w:start="0" w:hanging="0"/>
        <w:jc w:val="start"/>
        <w:rPr/>
      </w:pPr>
      <w:r>
        <w:rPr/>
      </w:r>
      <w:r>
        <w:br w:type="page"/>
      </w:r>
    </w:p>
    <w:p>
      <w:pPr>
        <w:pStyle w:val="Heading2"/>
        <w:numPr>
          <w:ilvl w:val="1"/>
          <w:numId w:val="1"/>
        </w:numPr>
        <w:bidi w:val="0"/>
        <w:jc w:val="start"/>
        <w:rPr/>
      </w:pPr>
      <w:r>
        <w:rPr/>
        <w:t>Questions</w:t>
      </w:r>
    </w:p>
    <w:p>
      <w:pPr>
        <w:pStyle w:val="Heading4"/>
        <w:numPr>
          <w:ilvl w:val="2"/>
          <w:numId w:val="1"/>
        </w:numPr>
        <w:spacing w:before="120" w:after="120"/>
        <w:rPr/>
      </w:pPr>
      <w:r>
        <w:rPr/>
        <w:t>Run a Sample Case</w:t>
      </w:r>
    </w:p>
    <w:p>
      <w:pPr>
        <w:pStyle w:val="TextBody"/>
        <w:bidi w:val="0"/>
        <w:jc w:val="start"/>
        <w:rPr/>
      </w:pPr>
      <w:r>
        <w:rPr/>
        <w:t>Q1. Looking at only the first case with a closing time of 0.01667 s, explain what is happening in the simulation before and after the fault.</w:t>
      </w:r>
    </w:p>
    <w:p>
      <w:pPr>
        <w:pStyle w:val="TextBody"/>
        <w:bidi w:val="0"/>
        <w:jc w:val="start"/>
        <w:rPr/>
      </w:pPr>
      <w:r>
        <w:rPr/>
      </w:r>
    </w:p>
    <w:p>
      <w:pPr>
        <w:pStyle w:val="TextBody"/>
        <w:bidi w:val="0"/>
        <w:jc w:val="start"/>
        <w:rPr/>
      </w:pPr>
      <w:r>
        <w:rPr/>
        <w:t>Q2. Explain why a breaker with a different closing time in the simulation would cause the resulting waveform to look different.  Are there any potential problems because of this?</w:t>
      </w:r>
    </w:p>
    <w:p>
      <w:pPr>
        <w:pStyle w:val="TextBody"/>
        <w:bidi w:val="0"/>
        <w:jc w:val="start"/>
        <w:rPr/>
      </w:pPr>
      <w:r>
        <w:rPr/>
      </w:r>
    </w:p>
    <w:p>
      <w:pPr>
        <w:pStyle w:val="Heading4"/>
        <w:numPr>
          <w:ilvl w:val="3"/>
          <w:numId w:val="1"/>
        </w:numPr>
        <w:spacing w:before="120" w:after="120"/>
        <w:rPr/>
      </w:pPr>
      <w:r>
        <w:rPr/>
        <w:t>Build a New Case – Capacitor Energization</w:t>
      </w:r>
    </w:p>
    <w:p>
      <w:pPr>
        <w:pStyle w:val="TextBody"/>
        <w:spacing w:before="120" w:after="120"/>
        <w:rPr/>
      </w:pPr>
      <w:r>
        <w:rPr/>
        <w:t>Q3. For the plots obtained with the initial simulation conditions explain the behavior of waveforms before and after capacitor switching.</w:t>
      </w:r>
    </w:p>
    <w:p>
      <w:pPr>
        <w:pStyle w:val="TextBody"/>
        <w:spacing w:before="120" w:after="120"/>
        <w:rPr/>
      </w:pPr>
      <w:r>
        <w:rPr/>
      </w:r>
    </w:p>
    <w:p>
      <w:pPr>
        <w:pStyle w:val="TextBody"/>
        <w:spacing w:before="120" w:after="120"/>
        <w:rPr/>
      </w:pPr>
      <w:r>
        <w:rPr/>
        <w:t>Q4. For the plots obtained with a AC source resistance of zero ohms, explain the difference in behavior of the waveforms compared to those with the initial simulation conditions.</w:t>
      </w:r>
    </w:p>
    <w:p>
      <w:pPr>
        <w:pStyle w:val="TextBody"/>
        <w:spacing w:before="120" w:after="120"/>
        <w:rPr/>
      </w:pPr>
      <w:r>
        <w:rPr/>
      </w:r>
    </w:p>
    <w:p>
      <w:pPr>
        <w:pStyle w:val="TextBody"/>
        <w:spacing w:before="120" w:after="120"/>
        <w:rPr/>
      </w:pPr>
      <w:r>
        <w:rPr/>
        <w:t>Q5. For the plots obtained with the modified fault time of 0.02084 seconds, explain the difference in behavior of the waveforms compared to those with the initial simulation conditions.</w:t>
      </w:r>
    </w:p>
    <w:p>
      <w:pPr>
        <w:pStyle w:val="TextBody"/>
        <w:spacing w:before="120" w:after="120"/>
        <w:rPr/>
      </w:pPr>
      <w:r>
        <w:rPr/>
      </w:r>
    </w:p>
    <w:p>
      <w:pPr>
        <w:pStyle w:val="TextBody"/>
        <w:spacing w:before="120" w:after="120"/>
        <w:rPr/>
      </w:pPr>
      <w:r>
        <w:rPr/>
        <w:t>Q6. Make the following measurements from the 2 separate scenarios when the breaker time is set to 0.02084 seconds.  Note that these 2 different scenarios have the capacitor initially pre-charged to different values (0 kV and 28.17 kV).</w:t>
      </w:r>
    </w:p>
    <w:p>
      <w:pPr>
        <w:pStyle w:val="TextBody"/>
        <w:numPr>
          <w:ilvl w:val="0"/>
          <w:numId w:val="2"/>
        </w:numPr>
        <w:spacing w:before="120" w:after="120"/>
        <w:rPr/>
      </w:pPr>
      <w:r>
        <w:rPr/>
        <w:t>The steady-state peak current of capacitor.</w:t>
      </w:r>
    </w:p>
    <w:p>
      <w:pPr>
        <w:pStyle w:val="TextBody"/>
        <w:numPr>
          <w:ilvl w:val="0"/>
          <w:numId w:val="2"/>
        </w:numPr>
        <w:spacing w:before="120" w:after="120"/>
        <w:rPr/>
      </w:pPr>
      <w:r>
        <w:rPr/>
        <w:t>The highest transient peak current of capacitor.</w:t>
      </w:r>
    </w:p>
    <w:p>
      <w:pPr>
        <w:pStyle w:val="TextBody"/>
        <w:numPr>
          <w:ilvl w:val="0"/>
          <w:numId w:val="2"/>
        </w:numPr>
        <w:spacing w:before="120" w:after="120"/>
        <w:rPr/>
      </w:pPr>
      <w:r>
        <w:rPr/>
        <w:t>The steady-state peak voltage of capacitor.</w:t>
      </w:r>
    </w:p>
    <w:p>
      <w:pPr>
        <w:pStyle w:val="TextBody"/>
        <w:numPr>
          <w:ilvl w:val="0"/>
          <w:numId w:val="2"/>
        </w:numPr>
        <w:spacing w:before="120" w:after="120"/>
        <w:rPr/>
      </w:pPr>
      <w:r>
        <w:rPr/>
        <w:t>The highest transient peak voltage of capacitor.</w:t>
      </w:r>
    </w:p>
    <w:p>
      <w:pPr>
        <w:pStyle w:val="TextBody"/>
        <w:numPr>
          <w:ilvl w:val="0"/>
          <w:numId w:val="3"/>
        </w:numPr>
        <w:spacing w:before="120" w:after="120"/>
        <w:rPr/>
      </w:pPr>
      <w:r>
        <w:rPr>
          <w:i/>
          <w:iCs/>
        </w:rPr>
        <w:t>Hint: in order to get the right steady state waveforms extend the simulation period to 0.5 sec.</w:t>
      </w:r>
    </w:p>
    <w:p>
      <w:pPr>
        <w:pStyle w:val="TextBody"/>
        <w:spacing w:before="120" w:after="120"/>
        <w:rPr/>
      </w:pPr>
      <w:r>
        <w:rPr/>
        <w:t>Explain what the impact of pre-charged voltage of the capacitor has on the maximum transient current?  Use yours measured results to back up your answer.</w:t>
      </w:r>
    </w:p>
    <w:p>
      <w:pPr>
        <w:pStyle w:val="TextBody"/>
        <w:bidi w:val="0"/>
        <w:jc w:val="start"/>
        <w:rPr/>
      </w:pPr>
      <w:r>
        <w:rPr/>
      </w:r>
    </w:p>
    <w:p>
      <w:pPr>
        <w:pStyle w:val="Heading4"/>
        <w:numPr>
          <w:ilvl w:val="3"/>
          <w:numId w:val="1"/>
        </w:numPr>
        <w:spacing w:before="120" w:after="120"/>
        <w:rPr/>
      </w:pPr>
      <w:r>
        <w:rPr/>
        <w:t>Back-to-back Capacitor Energization</w:t>
      </w:r>
    </w:p>
    <w:p>
      <w:pPr>
        <w:pStyle w:val="TextBody"/>
        <w:spacing w:before="120" w:after="120"/>
        <w:rPr/>
      </w:pPr>
      <w:r>
        <w:rPr/>
        <w:t>Q7. Explain the behavior of the Vs, Vcap1, and Vcap2 waveforms before and after the switching of the second capacitor.</w:t>
      </w:r>
    </w:p>
    <w:p>
      <w:pPr>
        <w:pStyle w:val="TextBody"/>
        <w:spacing w:before="120" w:after="120"/>
        <w:rPr/>
      </w:pPr>
      <w:r>
        <w:rPr/>
      </w:r>
    </w:p>
    <w:p>
      <w:pPr>
        <w:pStyle w:val="TextBody"/>
        <w:spacing w:before="120" w:after="120"/>
        <w:rPr/>
      </w:pPr>
      <w:r>
        <w:rPr/>
        <w:t>Q8. Explain the behavior of the Is, Icap1, and Icap2 waveforms before and after the switching of the second capacitor.  Why are the peak current magnitudes of Icap1 and Icap2 so much larger than that of Is?</w:t>
      </w:r>
    </w:p>
    <w:p>
      <w:pPr>
        <w:pStyle w:val="TextBody"/>
        <w:spacing w:before="120" w:after="120"/>
        <w:rPr/>
      </w:pPr>
      <w:r>
        <w:rPr/>
      </w:r>
    </w:p>
    <w:p>
      <w:pPr>
        <w:pStyle w:val="TextBody"/>
        <w:spacing w:before="120" w:after="120"/>
        <w:rPr/>
      </w:pPr>
      <w:r>
        <w:rPr/>
        <w:t>Q9. Go to the “</w:t>
      </w:r>
      <w:r>
        <w:rPr>
          <w:i/>
          <w:iCs/>
        </w:rPr>
        <w:t>Project”</w:t>
      </w:r>
      <w:r>
        <w:rPr/>
        <w:t xml:space="preserve"> ribbon and change “</w:t>
      </w:r>
      <w:r>
        <w:rPr>
          <w:i/>
          <w:iCs/>
        </w:rPr>
        <w:t>Solution Time Step”</w:t>
      </w:r>
      <w:r>
        <w:rPr/>
        <w:t xml:space="preserve"> from 5 us to 100 us and run the simulation again.  What is the impact of solution time step on the results?  You may need to zoom in on the plots during the transient to see the change of results clearly.</w:t>
      </w:r>
    </w:p>
    <w:p>
      <w:pPr>
        <w:pStyle w:val="TextBody"/>
        <w:spacing w:before="120" w:after="120"/>
        <w:rPr/>
      </w:pPr>
      <w:r>
        <w:rPr/>
      </w:r>
    </w:p>
    <w:p>
      <w:pPr>
        <w:pStyle w:val="TextBody"/>
        <w:spacing w:before="120" w:after="120"/>
        <w:rPr/>
      </w:pPr>
      <w:r>
        <w:rPr/>
      </w:r>
    </w:p>
    <w:sectPr>
      <w:headerReference w:type="default" r:id="rId2"/>
      <w:footerReference w:type="default" r:id="rId3"/>
      <w:type w:val="nextPage"/>
      <w:pgSz w:w="12240" w:h="15840"/>
      <w:pgMar w:left="1134" w:right="1134" w:gutter="0" w:header="1077" w:top="1636" w:footer="1077" w:bottom="16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characterSet="utf-8"/>
    <w:family w:val="swiss"/>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Liberation Mono">
    <w:altName w:val="Courier New"/>
    <w:charset w:val="01" w:characterSet="utf-8"/>
    <w:family w:val="roman"/>
    <w:pitch w:val="variable"/>
  </w:font>
  <w:font w:name="Liberation Serif">
    <w:altName w:val="Times New Roman"/>
    <w:charset w:val="01"/>
    <w:family w:val="roman"/>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bidi w:val="0"/>
      <w:jc w:val="start"/>
      <w:rPr/>
    </w:pPr>
    <w:r>
      <w:rPr>
        <w:color w:val="808080"/>
      </w:rPr>
      <w:fldChar w:fldCharType="begin"/>
    </w:r>
    <w:r>
      <w:rPr>
        <w:color w:val="808080"/>
      </w:rPr>
      <w:instrText xml:space="preserve"> DATE \@"MMM\ d', 'yyyy" </w:instrText>
    </w:r>
    <w:r>
      <w:rPr>
        <w:color w:val="808080"/>
      </w:rPr>
      <w:fldChar w:fldCharType="separate"/>
    </w:r>
    <w:r>
      <w:rPr>
        <w:color w:val="808080"/>
      </w:rPr>
      <w:t>Mar 24, 2023</w:t>
    </w:r>
    <w:r>
      <w:rPr>
        <w:color w:val="808080"/>
      </w:rPr>
      <w:fldChar w:fldCharType="end"/>
    </w:r>
    <w:r>
      <w:rPr>
        <w:color w:val="808080"/>
      </w:rPr>
      <w:t xml:space="preserve"> </w:t>
    </w:r>
    <w:r>
      <w:rPr>
        <w:color w:val="808080"/>
      </w:rPr>
      <w:fldChar w:fldCharType="begin"/>
    </w:r>
    <w:r>
      <w:rPr>
        <w:color w:val="808080"/>
      </w:rPr>
      <w:instrText xml:space="preserve"> TIME \@"HH:mm\ AM/PM" </w:instrText>
    </w:r>
    <w:r>
      <w:rPr>
        <w:color w:val="808080"/>
      </w:rPr>
      <w:fldChar w:fldCharType="separate"/>
    </w:r>
    <w:r>
      <w:rPr>
        <w:color w:val="808080"/>
      </w:rPr>
      <w:t>01:23 PM</w:t>
    </w:r>
    <w:r>
      <w:rPr>
        <w:color w:val="808080"/>
      </w:rPr>
      <w:fldChar w:fldCharType="end"/>
    </w:r>
    <w:r>
      <w:rPr/>
      <w:tab/>
      <w:tab/>
    </w:r>
    <w:r>
      <w:rPr>
        <w:color w:val="808080"/>
      </w:rPr>
      <w:t xml:space="preserve">Page </w:t>
    </w:r>
    <w:r>
      <w:rPr>
        <w:color w:val="808080"/>
      </w:rPr>
      <w:fldChar w:fldCharType="begin"/>
    </w:r>
    <w:r>
      <w:rPr>
        <w:color w:val="808080"/>
      </w:rPr>
      <w:instrText xml:space="preserve"> PAGE </w:instrText>
    </w:r>
    <w:r>
      <w:rPr>
        <w:color w:val="808080"/>
      </w:rPr>
      <w:fldChar w:fldCharType="separate"/>
    </w:r>
    <w:r>
      <w:rPr>
        <w:color w:val="808080"/>
      </w:rPr>
      <w:t>3</w:t>
    </w:r>
    <w:r>
      <w:rPr>
        <w:color w:val="808080"/>
      </w:rPr>
      <w:fldChar w:fldCharType="end"/>
    </w:r>
    <w:r>
      <w:rPr>
        <w:color w:val="808080"/>
      </w:rPr>
      <w:t xml:space="preserve"> of </w:t>
    </w:r>
    <w:r>
      <w:rPr>
        <w:color w:val="808080"/>
      </w:rPr>
      <w:fldChar w:fldCharType="begin"/>
    </w:r>
    <w:r>
      <w:rPr>
        <w:color w:val="808080"/>
      </w:rPr>
      <w:instrText xml:space="preserve"> NUMPAGES </w:instrText>
    </w:r>
    <w:r>
      <w:rPr>
        <w:color w:val="808080"/>
      </w:rPr>
      <w:fldChar w:fldCharType="separate"/>
    </w:r>
    <w:r>
      <w:rPr>
        <w:color w:val="808080"/>
      </w:rPr>
      <w:t>3</w:t>
    </w:r>
    <w:r>
      <w:rPr>
        <w:color w:val="80808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start"/>
      <w:rPr/>
    </w:pPr>
    <w:r>
      <w:rPr>
        <w:color w:val="808080"/>
      </w:rPr>
      <w:t>ECE 433 – Power Systems Stability and Transients</w:t>
      <w:tab/>
    </w:r>
    <w:r>
      <w:rPr/>
      <w:tab/>
    </w:r>
    <w:r>
      <w:rPr>
        <w:color w:val="808080"/>
      </w:rPr>
      <w:t>Lab 5: Electromagnetic Transients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abstractNum w:abstractNumId="2">
    <w:lvl w:ilvl="0">
      <w:start w:val="1"/>
      <w:numFmt w:val="lowerLetter"/>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lowerLetter"/>
      <w:lvlText w:val="%3)"/>
      <w:lvlJc w:val="start"/>
      <w:pPr>
        <w:tabs>
          <w:tab w:val="num" w:pos="1440"/>
        </w:tabs>
        <w:ind w:start="1440" w:hanging="360"/>
      </w:pPr>
      <w:rPr/>
    </w:lvl>
    <w:lvl w:ilvl="3">
      <w:start w:val="1"/>
      <w:numFmt w:val="lowerLetter"/>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Letter"/>
      <w:lvlText w:val="%6)"/>
      <w:lvlJc w:val="start"/>
      <w:pPr>
        <w:tabs>
          <w:tab w:val="num" w:pos="2520"/>
        </w:tabs>
        <w:ind w:start="2520" w:hanging="360"/>
      </w:pPr>
      <w:rPr/>
    </w:lvl>
    <w:lvl w:ilvl="6">
      <w:start w:val="1"/>
      <w:numFmt w:val="lowerLetter"/>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Letter"/>
      <w:lvlText w:val="%9)"/>
      <w:lvlJc w:val="start"/>
      <w:pPr>
        <w:tabs>
          <w:tab w:val="num" w:pos="3600"/>
        </w:tabs>
        <w:ind w:start="3600" w:hanging="360"/>
      </w:pPr>
      <w:rPr/>
    </w:lvl>
  </w:abstractNum>
  <w:abstractNum w:abstractNumId="3">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4">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en-C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erif CJK SC" w:cs="Noto Sans Devanagari"/>
      <w:color w:val="auto"/>
      <w:kern w:val="2"/>
      <w:sz w:val="24"/>
      <w:szCs w:val="24"/>
      <w:lang w:val="en-CA"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oto Serif CJK SC" w:cs="Noto Sans Devanagari"/>
      <w:b/>
      <w:bCs/>
      <w:sz w:val="48"/>
      <w:szCs w:val="48"/>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6"/>
      <w:szCs w:val="26"/>
    </w:rPr>
  </w:style>
  <w:style w:type="character" w:styleId="NumberingSymbols">
    <w:name w:val="Numbering Symbols"/>
    <w:qFormat/>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paragraph" w:styleId="HorizontalLine">
    <w:name w:val="Horizontal Line"/>
    <w:basedOn w:val="Normal"/>
    <w:next w:val="TextBody"/>
    <w:qFormat/>
    <w:pPr>
      <w:suppressLineNumbers/>
      <w:pBdr>
        <w:bottom w:val="single" w:sz="2" w:space="0" w:color="808080"/>
      </w:pBdr>
      <w:spacing w:before="0" w:after="283"/>
    </w:pPr>
    <w:rPr>
      <w:sz w:val="12"/>
      <w:szCs w:val="12"/>
    </w:rPr>
  </w:style>
  <w:style w:type="paragraph" w:styleId="TableContents">
    <w:name w:val="Table Contents"/>
    <w:basedOn w:val="Normal"/>
    <w:qFormat/>
    <w:pPr>
      <w:widowControl w:val="false"/>
      <w:suppressLineNumbers/>
    </w:pPr>
    <w:rPr>
      <w:sz w:val="20"/>
    </w:rPr>
  </w:style>
  <w:style w:type="paragraph" w:styleId="TableHeading">
    <w:name w:val="Table Heading"/>
    <w:basedOn w:val="TableContents"/>
    <w:qFormat/>
    <w:pPr>
      <w:suppressLineNumbers/>
      <w:jc w:val="center"/>
    </w:pPr>
    <w:rPr>
      <w:b/>
      <w:bCs/>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Quotations">
    <w:name w:val="Quotations"/>
    <w:basedOn w:val="Normal"/>
    <w:qFormat/>
    <w:pPr>
      <w:spacing w:before="0" w:after="283"/>
      <w:ind w:start="567" w:end="567" w:hanging="0"/>
    </w:pPr>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paragraph" w:styleId="Table">
    <w:name w:val="Table"/>
    <w:basedOn w:val="Caption"/>
    <w:qFormat/>
    <w:pPr/>
    <w:rPr/>
  </w:style>
  <w:style w:type="numbering" w:styleId="Numbering123">
    <w:name w:val="Numbering 12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2044</TotalTime>
  <Application>LibreOffice/7.3.7.2$Linux_X86_64 LibreOffice_project/30$Build-2</Application>
  <AppVersion>15.0000</AppVersion>
  <Pages>3</Pages>
  <Words>488</Words>
  <Characters>2507</Characters>
  <CharactersWithSpaces>2966</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2023-01-10T14:02:54Z</dcterms:created>
  <dc:creator/>
  <dc:description/>
  <dc:language>en-CA</dc:language>
  <cp:lastModifiedBy/>
  <dcterms:modified xsi:type="dcterms:W3CDTF">2023-03-24T13:24:14Z</dcterms:modified>
  <cp:revision>48</cp:revision>
  <dc:subject/>
  <dc:title/>
</cp:coreProperties>
</file>

<file path=docProps/custom.xml><?xml version="1.0" encoding="utf-8"?>
<Properties xmlns="http://schemas.openxmlformats.org/officeDocument/2006/custom-properties" xmlns:vt="http://schemas.openxmlformats.org/officeDocument/2006/docPropsVTypes"/>
</file>